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SFBCVohneNummerierung"/>
      </w:pPr>
      <w:r>
        <w:t xml:space="preserve">Brenner, Ellen </w:t>
      </w:r>
    </w:p>
    <w:p>
      <w:pPr>
        <w:pStyle w:val="1SFBCV"/>
        <w:spacing w:before="240"/>
        <w:ind w:left="499" w:hanging="357"/>
      </w:pPr>
      <w:bookmarkStart w:id="0" w:name="_Toc57889272"/>
      <w:bookmarkStart w:id="1" w:name="_Toc57968486"/>
      <w:bookmarkStart w:id="2" w:name="_Toc58489550"/>
      <w:bookmarkStart w:id="3" w:name="_Toc58490154"/>
      <w:bookmarkStart w:id="4" w:name="_Toc58498429"/>
      <w:bookmarkStart w:id="5" w:name="_Toc58570801"/>
      <w:bookmarkStart w:id="6" w:name="_Toc58928950"/>
      <w:bookmarkStart w:id="7" w:name="_Toc59080488"/>
      <w:bookmarkStart w:id="8" w:name="_Toc59168832"/>
      <w:bookmarkStart w:id="9" w:name="_Toc59396488"/>
      <w:bookmarkStart w:id="10" w:name="_Toc78540445"/>
      <w:bookmarkStart w:id="11" w:name="_Toc78541375"/>
      <w:bookmarkStart w:id="12" w:name="_Toc82510050"/>
      <w:bookmarkStart w:id="13" w:name="_Toc82515154"/>
      <w:bookmarkStart w:id="14" w:name="_Toc82602574"/>
      <w:r>
        <w:t>General information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p>
    <w:p>
      <w:pPr>
        <w:pStyle w:val="SFB-CVText"/>
        <w:rPr>
          <w:lang w:val="de-DE"/>
        </w:rPr>
      </w:pPr>
      <w:r>
        <w:rPr>
          <w:lang w:val="de-DE"/>
        </w:rPr>
        <w:t>Name</w:t>
      </w:r>
      <w:r>
        <w:rPr>
          <w:lang w:val="de-DE"/>
        </w:rPr>
        <w:tab/>
      </w:r>
      <w:r>
        <w:rPr>
          <w:lang w:val="de-DE"/>
        </w:rPr>
        <w:tab/>
      </w:r>
      <w:r>
        <w:rPr>
          <w:lang w:val="de-DE"/>
        </w:rPr>
        <w:tab/>
        <w:t xml:space="preserve">Brenner, Ellen, Dr. </w:t>
      </w:r>
      <w:proofErr w:type="spellStart"/>
      <w:r>
        <w:rPr>
          <w:lang w:val="de-DE"/>
        </w:rPr>
        <w:t>rer</w:t>
      </w:r>
      <w:proofErr w:type="spellEnd"/>
      <w:r>
        <w:rPr>
          <w:lang w:val="de-DE"/>
        </w:rPr>
        <w:t xml:space="preserve">. nat., </w:t>
      </w:r>
      <w:proofErr w:type="spellStart"/>
      <w:r>
        <w:rPr>
          <w:lang w:val="de-DE"/>
        </w:rPr>
        <w:t>female</w:t>
      </w:r>
      <w:proofErr w:type="spellEnd"/>
    </w:p>
    <w:p>
      <w:pPr>
        <w:pStyle w:val="SFB-CVText"/>
        <w:rPr>
          <w:lang w:val="en-US"/>
        </w:rPr>
      </w:pPr>
      <w:r>
        <w:rPr>
          <w:lang w:val="en-US"/>
        </w:rPr>
        <w:t>Date of Birth</w:t>
      </w:r>
      <w:r>
        <w:rPr>
          <w:lang w:val="en-US"/>
        </w:rPr>
        <w:tab/>
      </w:r>
      <w:r>
        <w:rPr>
          <w:lang w:val="en-US"/>
        </w:rPr>
        <w:tab/>
        <w:t>10.03.1982</w:t>
      </w:r>
    </w:p>
    <w:p>
      <w:pPr>
        <w:pStyle w:val="SFB-CVText"/>
        <w:rPr>
          <w:lang w:val="de-DE"/>
        </w:rPr>
      </w:pPr>
      <w:r>
        <w:rPr>
          <w:rFonts w:eastAsia="MS ??"/>
          <w:lang w:val="de-DE"/>
        </w:rPr>
        <w:t xml:space="preserve">Work </w:t>
      </w:r>
      <w:proofErr w:type="spellStart"/>
      <w:r>
        <w:rPr>
          <w:rFonts w:eastAsia="MS ??"/>
          <w:lang w:val="de-DE"/>
        </w:rPr>
        <w:t>address</w:t>
      </w:r>
      <w:proofErr w:type="spellEnd"/>
      <w:r>
        <w:rPr>
          <w:rFonts w:eastAsia="MS ??"/>
          <w:lang w:val="de-DE"/>
        </w:rPr>
        <w:tab/>
      </w:r>
      <w:r>
        <w:rPr>
          <w:rFonts w:eastAsia="MS ??"/>
          <w:lang w:val="de-DE"/>
        </w:rPr>
        <w:tab/>
      </w:r>
      <w:r>
        <w:rPr>
          <w:lang w:val="de-DE"/>
        </w:rPr>
        <w:t>Universitätsklinikum Tübingen, IM8</w:t>
      </w:r>
    </w:p>
    <w:p>
      <w:pPr>
        <w:pStyle w:val="SFB-CVText"/>
        <w:rPr>
          <w:lang w:val="de-DE"/>
        </w:rPr>
      </w:pPr>
      <w:r>
        <w:rPr>
          <w:lang w:val="de-DE"/>
        </w:rPr>
        <w:tab/>
      </w:r>
      <w:r>
        <w:rPr>
          <w:lang w:val="de-DE"/>
        </w:rPr>
        <w:tab/>
      </w:r>
      <w:r>
        <w:rPr>
          <w:lang w:val="de-DE"/>
        </w:rPr>
        <w:tab/>
      </w:r>
      <w:r>
        <w:rPr>
          <w:lang w:val="de-DE"/>
        </w:rPr>
        <w:tab/>
        <w:t>Universität Tübingen</w:t>
      </w:r>
      <w:bookmarkStart w:id="15" w:name="_GoBack"/>
      <w:bookmarkEnd w:id="15"/>
    </w:p>
    <w:p>
      <w:pPr>
        <w:pStyle w:val="SFB-CVText"/>
        <w:rPr>
          <w:lang w:val="de-DE"/>
        </w:rPr>
      </w:pPr>
      <w:r>
        <w:rPr>
          <w:lang w:val="de-DE"/>
        </w:rPr>
        <w:tab/>
      </w:r>
      <w:r>
        <w:rPr>
          <w:lang w:val="de-DE"/>
        </w:rPr>
        <w:tab/>
      </w:r>
      <w:r>
        <w:rPr>
          <w:lang w:val="de-DE"/>
        </w:rPr>
        <w:tab/>
      </w:r>
      <w:r>
        <w:rPr>
          <w:lang w:val="de-DE"/>
        </w:rPr>
        <w:tab/>
        <w:t>iFIT, Röntgenweg 11, 72076 Tübingen</w:t>
      </w:r>
    </w:p>
    <w:p>
      <w:pPr>
        <w:pStyle w:val="SFB-CVText"/>
        <w:rPr>
          <w:lang w:val="de-DE"/>
        </w:rPr>
      </w:pPr>
      <w:r>
        <w:rPr>
          <w:lang w:val="de-DE"/>
        </w:rPr>
        <w:t xml:space="preserve">Contact </w:t>
      </w:r>
      <w:proofErr w:type="spellStart"/>
      <w:r>
        <w:rPr>
          <w:lang w:val="de-DE"/>
        </w:rPr>
        <w:t>details</w:t>
      </w:r>
      <w:proofErr w:type="spellEnd"/>
      <w:r>
        <w:rPr>
          <w:lang w:val="de-DE"/>
        </w:rPr>
        <w:tab/>
      </w:r>
      <w:r>
        <w:rPr>
          <w:lang w:val="de-DE"/>
        </w:rPr>
        <w:tab/>
      </w:r>
      <w:r>
        <w:sym w:font="Wingdings 2" w:char="F027"/>
      </w:r>
      <w:r>
        <w:rPr>
          <w:lang w:val="de-DE"/>
        </w:rPr>
        <w:t xml:space="preserve"> 07071/29-86219, </w:t>
      </w:r>
      <w:r>
        <w:rPr>
          <w:rFonts w:ascii="Segoe UI Symbol" w:hAnsi="Segoe UI Symbol"/>
          <w:lang w:val="de-DE"/>
        </w:rPr>
        <w:t>📧</w:t>
      </w:r>
      <w:r>
        <w:rPr>
          <w:lang w:val="de-DE"/>
        </w:rPr>
        <w:t xml:space="preserve"> ellen.brenner@med.uni-tuebingen.de </w:t>
      </w:r>
    </w:p>
    <w:p>
      <w:pPr>
        <w:pStyle w:val="SFB-CVText"/>
      </w:pPr>
      <w:r>
        <w:t>Current position and status</w:t>
      </w:r>
      <w:r>
        <w:tab/>
        <w:t>Executive Manager</w:t>
      </w:r>
    </w:p>
    <w:p>
      <w:pPr>
        <w:pStyle w:val="1SFBCV"/>
      </w:pPr>
      <w:bookmarkStart w:id="16" w:name="_Hlk107414597"/>
      <w:bookmarkStart w:id="17" w:name="_Toc57889273"/>
      <w:bookmarkStart w:id="18" w:name="_Toc57968487"/>
      <w:bookmarkStart w:id="19" w:name="_Toc58489551"/>
      <w:bookmarkStart w:id="20" w:name="_Toc58490155"/>
      <w:bookmarkStart w:id="21" w:name="_Toc58498430"/>
      <w:bookmarkStart w:id="22" w:name="_Toc58570802"/>
      <w:bookmarkStart w:id="23" w:name="_Toc58928951"/>
      <w:bookmarkStart w:id="24" w:name="_Toc59080489"/>
      <w:bookmarkStart w:id="25" w:name="_Toc59168833"/>
      <w:bookmarkStart w:id="26" w:name="_Toc59396489"/>
      <w:bookmarkStart w:id="27" w:name="_Toc78540446"/>
      <w:bookmarkStart w:id="28" w:name="_Toc78541376"/>
      <w:bookmarkStart w:id="29" w:name="_Toc82510051"/>
      <w:bookmarkStart w:id="30" w:name="_Toc82515155"/>
      <w:bookmarkStart w:id="31" w:name="_Toc82602575"/>
      <w:r>
        <w:t xml:space="preserve">University training </w:t>
      </w:r>
      <w:bookmarkEnd w:id="16"/>
      <w:r>
        <w:t>and degree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t xml:space="preserve"> </w:t>
      </w:r>
    </w:p>
    <w:p>
      <w:pPr>
        <w:pStyle w:val="SFB-CVText"/>
        <w:tabs>
          <w:tab w:val="clear" w:pos="1814"/>
          <w:tab w:val="left" w:pos="1843"/>
        </w:tabs>
        <w:ind w:left="2552" w:hanging="2552"/>
        <w:rPr>
          <w:lang w:val="en-US"/>
        </w:rPr>
      </w:pPr>
      <w:r>
        <w:rPr>
          <w:lang w:val="en-US"/>
        </w:rPr>
        <w:t>2009</w:t>
      </w:r>
      <w:r>
        <w:rPr>
          <w:lang w:val="en-US"/>
        </w:rPr>
        <w:tab/>
      </w:r>
      <w:r>
        <w:rPr>
          <w:lang w:val="en-US"/>
        </w:rPr>
        <w:tab/>
      </w:r>
      <w:r>
        <w:rPr>
          <w:lang w:val="en-US"/>
        </w:rPr>
        <w:tab/>
        <w:t>Diploma thesis at the Dermatology Tübingen in cooperation with the University of Stuttgart: Role of TLR/MyD88- signaling in metastasis</w:t>
      </w:r>
      <w:r>
        <w:rPr>
          <w:lang w:val="en-US"/>
        </w:rPr>
        <w:br/>
        <w:t xml:space="preserve">Mentor: Prof. Dr. Dagmar </w:t>
      </w:r>
      <w:proofErr w:type="spellStart"/>
      <w:r>
        <w:rPr>
          <w:lang w:val="en-US"/>
        </w:rPr>
        <w:t>Kulms</w:t>
      </w:r>
      <w:proofErr w:type="spellEnd"/>
      <w:r>
        <w:rPr>
          <w:lang w:val="en-US"/>
        </w:rPr>
        <w:t xml:space="preserve"> and Dr. Regina Heidenreich</w:t>
      </w:r>
    </w:p>
    <w:p>
      <w:pPr>
        <w:pStyle w:val="SFB-CVText"/>
        <w:tabs>
          <w:tab w:val="clear" w:pos="1814"/>
          <w:tab w:val="left" w:pos="1843"/>
        </w:tabs>
        <w:ind w:left="2552" w:hanging="2552"/>
      </w:pPr>
      <w:r>
        <w:t>2008</w:t>
      </w:r>
      <w:r>
        <w:tab/>
      </w:r>
      <w:r>
        <w:tab/>
      </w:r>
      <w:r>
        <w:tab/>
        <w:t xml:space="preserve">Assignment at the Institute of Technical Biochemistry, Stuttgart: Intracellular Expression of human </w:t>
      </w:r>
      <w:proofErr w:type="spellStart"/>
      <w:r>
        <w:t>Cytochrom</w:t>
      </w:r>
      <w:proofErr w:type="spellEnd"/>
      <w:r>
        <w:t xml:space="preserve"> P450 Monooxygenases 2D6 and 3A4 in Pichia pastoris</w:t>
      </w:r>
      <w:r>
        <w:br/>
        <w:t>Mentor: Dr. Stefan Lange</w:t>
      </w:r>
    </w:p>
    <w:p>
      <w:pPr>
        <w:pStyle w:val="SFB-CVText"/>
        <w:tabs>
          <w:tab w:val="left" w:pos="1843"/>
        </w:tabs>
        <w:ind w:left="2552" w:hanging="2552"/>
        <w:rPr>
          <w:lang w:val="en-US"/>
        </w:rPr>
      </w:pPr>
      <w:r>
        <w:rPr>
          <w:lang w:val="en-US"/>
        </w:rPr>
        <w:t>2001 - 2009</w:t>
      </w:r>
      <w:r>
        <w:rPr>
          <w:lang w:val="en-US"/>
        </w:rPr>
        <w:tab/>
      </w:r>
      <w:r>
        <w:rPr>
          <w:lang w:val="en-US"/>
        </w:rPr>
        <w:tab/>
      </w:r>
      <w:r>
        <w:rPr>
          <w:lang w:val="en-US"/>
        </w:rPr>
        <w:tab/>
        <w:t>University training in Technical Biology at the University of Stuttgart, major in Immunology and Cell Biology, minor in Technical Biochemistry and Industrial Genetics</w:t>
      </w:r>
    </w:p>
    <w:p>
      <w:pPr>
        <w:pStyle w:val="1SFBCV"/>
        <w:spacing w:before="240"/>
        <w:ind w:left="499" w:hanging="357"/>
      </w:pPr>
      <w:bookmarkStart w:id="32" w:name="_Toc57889274"/>
      <w:bookmarkStart w:id="33" w:name="_Toc57968488"/>
      <w:bookmarkStart w:id="34" w:name="_Toc58489552"/>
      <w:bookmarkStart w:id="35" w:name="_Toc58490156"/>
      <w:bookmarkStart w:id="36" w:name="_Toc58498431"/>
      <w:bookmarkStart w:id="37" w:name="_Toc58570803"/>
      <w:bookmarkStart w:id="38" w:name="_Toc58928952"/>
      <w:bookmarkStart w:id="39" w:name="_Toc59080490"/>
      <w:bookmarkStart w:id="40" w:name="_Toc59168834"/>
      <w:bookmarkStart w:id="41" w:name="_Toc59396490"/>
      <w:bookmarkStart w:id="42" w:name="_Toc78540447"/>
      <w:bookmarkStart w:id="43" w:name="_Toc78541377"/>
      <w:bookmarkStart w:id="44" w:name="_Toc82510052"/>
      <w:bookmarkStart w:id="45" w:name="_Toc82515156"/>
      <w:bookmarkStart w:id="46" w:name="_Toc82602576"/>
      <w:r>
        <w:t>Advanced academic qualifications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 xml:space="preserve"> </w:t>
      </w:r>
    </w:p>
    <w:p>
      <w:pPr>
        <w:pStyle w:val="SFB-CVText"/>
        <w:tabs>
          <w:tab w:val="clear" w:pos="1814"/>
          <w:tab w:val="clear" w:pos="2835"/>
          <w:tab w:val="left" w:pos="1985"/>
        </w:tabs>
        <w:ind w:left="2552" w:hanging="2552"/>
        <w:rPr>
          <w:lang w:val="en-US"/>
        </w:rPr>
      </w:pPr>
      <w:r>
        <w:rPr>
          <w:lang w:val="en-US"/>
        </w:rPr>
        <w:t>2013 – 2021</w:t>
      </w:r>
      <w:r>
        <w:rPr>
          <w:lang w:val="en-US"/>
        </w:rPr>
        <w:tab/>
      </w:r>
      <w:r>
        <w:rPr>
          <w:lang w:val="en-US"/>
        </w:rPr>
        <w:tab/>
        <w:t>Doctorate:</w:t>
      </w:r>
      <w:r>
        <w:rPr>
          <w:lang w:val="en-US"/>
        </w:rPr>
        <w:tab/>
        <w:t>PhD at the Faculty of Science in Biology at the University of Tübingen: “Cancer Immunotherapy Requires Interferon-dependent Senescence Induction”</w:t>
      </w:r>
      <w:r>
        <w:rPr>
          <w:lang w:val="en-US"/>
        </w:rPr>
        <w:br/>
        <w:t xml:space="preserve">Mentor: Prof. Dr. M. </w:t>
      </w:r>
      <w:proofErr w:type="spellStart"/>
      <w:r>
        <w:rPr>
          <w:lang w:val="en-US"/>
        </w:rPr>
        <w:t>Röcken</w:t>
      </w:r>
      <w:proofErr w:type="spellEnd"/>
      <w:r>
        <w:rPr>
          <w:lang w:val="en-US"/>
        </w:rPr>
        <w:t xml:space="preserve"> and Hans-Georg </w:t>
      </w:r>
      <w:proofErr w:type="spellStart"/>
      <w:r>
        <w:rPr>
          <w:lang w:val="en-US"/>
        </w:rPr>
        <w:t>Rammensee</w:t>
      </w:r>
      <w:proofErr w:type="spellEnd"/>
    </w:p>
    <w:p>
      <w:pPr>
        <w:pStyle w:val="1SFBCV"/>
        <w:spacing w:before="240"/>
        <w:ind w:left="499" w:hanging="357"/>
      </w:pPr>
      <w:bookmarkStart w:id="47" w:name="_Toc57889275"/>
      <w:bookmarkStart w:id="48" w:name="_Toc57968489"/>
      <w:bookmarkStart w:id="49" w:name="_Toc58489553"/>
      <w:bookmarkStart w:id="50" w:name="_Toc58490157"/>
      <w:bookmarkStart w:id="51" w:name="_Toc58498432"/>
      <w:bookmarkStart w:id="52" w:name="_Toc58570804"/>
      <w:bookmarkStart w:id="53" w:name="_Toc58928953"/>
      <w:bookmarkStart w:id="54" w:name="_Toc59080491"/>
      <w:bookmarkStart w:id="55" w:name="_Toc59168835"/>
      <w:bookmarkStart w:id="56" w:name="_Toc59396491"/>
      <w:bookmarkStart w:id="57" w:name="_Toc78540448"/>
      <w:bookmarkStart w:id="58" w:name="_Toc78541378"/>
      <w:bookmarkStart w:id="59" w:name="_Toc82510053"/>
      <w:bookmarkStart w:id="60" w:name="_Toc82515157"/>
      <w:bookmarkStart w:id="61" w:name="_Toc82602577"/>
      <w:r>
        <w:t>Postgraduate professional career</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t xml:space="preserve"> </w:t>
      </w:r>
    </w:p>
    <w:p>
      <w:pPr>
        <w:pStyle w:val="SFB-CVText"/>
        <w:tabs>
          <w:tab w:val="clear" w:pos="1814"/>
          <w:tab w:val="clear" w:pos="2835"/>
          <w:tab w:val="left" w:pos="1985"/>
        </w:tabs>
        <w:ind w:left="2552" w:hanging="2552"/>
        <w:rPr>
          <w:lang w:val="en-US"/>
        </w:rPr>
      </w:pPr>
      <w:r>
        <w:rPr>
          <w:lang w:val="en-US"/>
        </w:rPr>
        <w:t>2024 – present</w:t>
      </w:r>
      <w:r>
        <w:rPr>
          <w:lang w:val="en-US"/>
        </w:rPr>
        <w:tab/>
      </w:r>
      <w:r>
        <w:rPr>
          <w:lang w:val="en-US"/>
        </w:rPr>
        <w:tab/>
        <w:t>Executive Manager of the Cluster of Excellence iFIT Image-guided and Functionally Instructed Tumor Therapies, EXC 2180, University Tübingen</w:t>
      </w:r>
    </w:p>
    <w:p>
      <w:pPr>
        <w:pStyle w:val="SFB-CVText"/>
        <w:tabs>
          <w:tab w:val="clear" w:pos="1814"/>
          <w:tab w:val="clear" w:pos="2835"/>
          <w:tab w:val="left" w:pos="1985"/>
        </w:tabs>
        <w:ind w:left="2552" w:hanging="2552"/>
        <w:rPr>
          <w:lang w:val="en-US"/>
        </w:rPr>
      </w:pPr>
      <w:r>
        <w:rPr>
          <w:lang w:val="en-US"/>
        </w:rPr>
        <w:t>2021 – 2023</w:t>
      </w:r>
      <w:r>
        <w:rPr>
          <w:lang w:val="en-US"/>
        </w:rPr>
        <w:tab/>
      </w:r>
      <w:r>
        <w:rPr>
          <w:lang w:val="en-US"/>
        </w:rPr>
        <w:tab/>
        <w:t xml:space="preserve">Postdoc of the research group </w:t>
      </w:r>
      <w:proofErr w:type="spellStart"/>
      <w:r>
        <w:rPr>
          <w:lang w:val="en-US"/>
        </w:rPr>
        <w:t>Tumorimmunology</w:t>
      </w:r>
      <w:proofErr w:type="spellEnd"/>
      <w:r>
        <w:rPr>
          <w:lang w:val="en-US"/>
        </w:rPr>
        <w:t xml:space="preserve"> at the Department of Dermatology, University Hospital Tübingen</w:t>
      </w:r>
    </w:p>
    <w:p>
      <w:pPr>
        <w:pStyle w:val="SFB-CVText"/>
        <w:tabs>
          <w:tab w:val="clear" w:pos="1814"/>
          <w:tab w:val="clear" w:pos="2835"/>
          <w:tab w:val="left" w:pos="1985"/>
        </w:tabs>
        <w:ind w:left="2552" w:hanging="2552"/>
      </w:pPr>
      <w:r>
        <w:rPr>
          <w:lang w:val="en-US"/>
        </w:rPr>
        <w:t>2013 – 2021</w:t>
      </w:r>
      <w:r>
        <w:rPr>
          <w:lang w:val="en-US"/>
        </w:rPr>
        <w:tab/>
      </w:r>
      <w:r>
        <w:rPr>
          <w:lang w:val="en-US"/>
        </w:rPr>
        <w:tab/>
        <w:t>PhD thesis at the Faculty of Science in Biology at the University of Tübingen</w:t>
      </w:r>
    </w:p>
    <w:p>
      <w:pPr>
        <w:pStyle w:val="SFB-CVText"/>
        <w:tabs>
          <w:tab w:val="clear" w:pos="1814"/>
          <w:tab w:val="left" w:pos="1843"/>
        </w:tabs>
        <w:ind w:left="2552" w:hanging="2552"/>
      </w:pPr>
      <w:r>
        <w:t>2009 – 2013</w:t>
      </w:r>
      <w:r>
        <w:tab/>
      </w:r>
      <w:r>
        <w:tab/>
        <w:t>Scientific assistant of Dr. Regina Heidenreich of the research group E</w:t>
      </w:r>
      <w:proofErr w:type="spellStart"/>
      <w:r>
        <w:rPr>
          <w:lang w:val="en-US"/>
        </w:rPr>
        <w:t>xperimental</w:t>
      </w:r>
      <w:proofErr w:type="spellEnd"/>
      <w:r>
        <w:rPr>
          <w:lang w:val="en-US"/>
        </w:rPr>
        <w:t xml:space="preserve"> Angiology at the Department of Dermatology, University Hospital Tübingen</w:t>
      </w:r>
    </w:p>
    <w:p>
      <w:pPr>
        <w:pStyle w:val="1SFBCV"/>
        <w:spacing w:before="240"/>
        <w:ind w:left="499" w:hanging="357"/>
      </w:pPr>
      <w:r>
        <w:t>Other</w:t>
      </w:r>
    </w:p>
    <w:p>
      <w:pPr>
        <w:pStyle w:val="SFB-CVText"/>
        <w:ind w:left="2550" w:hanging="2550"/>
      </w:pPr>
      <w:r>
        <w:t xml:space="preserve">2022 </w:t>
      </w:r>
      <w:r>
        <w:tab/>
      </w:r>
      <w:r>
        <w:tab/>
      </w:r>
      <w:r>
        <w:tab/>
        <w:t xml:space="preserve">Project manager of the genetic engineering facility </w:t>
      </w:r>
      <w:r>
        <w:tab/>
      </w:r>
    </w:p>
    <w:p>
      <w:pPr>
        <w:pStyle w:val="SFB-CVText"/>
        <w:tabs>
          <w:tab w:val="clear" w:pos="1814"/>
          <w:tab w:val="clear" w:pos="2835"/>
          <w:tab w:val="left" w:pos="1985"/>
        </w:tabs>
        <w:ind w:left="2552" w:hanging="2552"/>
        <w:rPr>
          <w:lang w:val="en-US"/>
        </w:rPr>
      </w:pPr>
      <w:r>
        <w:rPr>
          <w:lang w:val="en-US"/>
        </w:rPr>
        <w:t>2019</w:t>
      </w:r>
      <w:r>
        <w:rPr>
          <w:lang w:val="en-US"/>
        </w:rPr>
        <w:tab/>
      </w:r>
      <w:r>
        <w:rPr>
          <w:lang w:val="en-US"/>
        </w:rPr>
        <w:tab/>
      </w:r>
      <w:r>
        <w:rPr>
          <w:lang w:val="en-US"/>
        </w:rPr>
        <w:tab/>
        <w:t>Poster Prize, European Society for Dermatology Research (ESDR), Bordeaux, France</w:t>
      </w:r>
    </w:p>
    <w:p>
      <w:pPr>
        <w:pStyle w:val="SFB-CVText"/>
        <w:tabs>
          <w:tab w:val="clear" w:pos="1814"/>
          <w:tab w:val="clear" w:pos="2835"/>
          <w:tab w:val="left" w:pos="1985"/>
        </w:tabs>
        <w:ind w:left="2552" w:hanging="2552"/>
        <w:rPr>
          <w:lang w:val="en-US"/>
        </w:rPr>
      </w:pPr>
      <w:r>
        <w:rPr>
          <w:lang w:val="en-US"/>
        </w:rPr>
        <w:lastRenderedPageBreak/>
        <w:t>2016</w:t>
      </w:r>
      <w:r>
        <w:rPr>
          <w:lang w:val="en-US"/>
        </w:rPr>
        <w:tab/>
      </w:r>
      <w:r>
        <w:rPr>
          <w:lang w:val="en-US"/>
        </w:rPr>
        <w:tab/>
        <w:t xml:space="preserve"> </w:t>
      </w:r>
      <w:r>
        <w:rPr>
          <w:lang w:val="en-US"/>
        </w:rPr>
        <w:tab/>
        <w:t xml:space="preserve">Travel fellowship to the annual meeting of the Society for Investigative Dermatology (SID) as conference speaker, Scottsdale, USA </w:t>
      </w:r>
    </w:p>
    <w:p>
      <w:pPr>
        <w:pStyle w:val="SFB-CVText"/>
        <w:tabs>
          <w:tab w:val="clear" w:pos="1814"/>
          <w:tab w:val="clear" w:pos="2835"/>
          <w:tab w:val="left" w:pos="1985"/>
        </w:tabs>
        <w:ind w:left="2552" w:hanging="2552"/>
        <w:rPr>
          <w:lang w:val="de-DE"/>
        </w:rPr>
      </w:pPr>
      <w:r>
        <w:rPr>
          <w:lang w:val="de-DE"/>
        </w:rPr>
        <w:t>2016</w:t>
      </w:r>
      <w:r>
        <w:rPr>
          <w:lang w:val="de-DE"/>
        </w:rPr>
        <w:tab/>
      </w:r>
      <w:r>
        <w:rPr>
          <w:lang w:val="de-DE"/>
        </w:rPr>
        <w:tab/>
      </w:r>
      <w:r>
        <w:rPr>
          <w:lang w:val="de-DE"/>
        </w:rPr>
        <w:tab/>
      </w:r>
      <w:proofErr w:type="spellStart"/>
      <w:r>
        <w:rPr>
          <w:lang w:val="de-DE"/>
        </w:rPr>
        <w:t>Dermato-Oncology</w:t>
      </w:r>
      <w:proofErr w:type="spellEnd"/>
      <w:r>
        <w:rPr>
          <w:lang w:val="de-DE"/>
        </w:rPr>
        <w:t xml:space="preserve"> Young Investigators Award, Arbeitsgemeinschaft Dermatologische Forschung (ESDR), Wien, Austria</w:t>
      </w:r>
    </w:p>
    <w:p>
      <w:pPr>
        <w:pStyle w:val="SFB-CVText"/>
        <w:ind w:left="2550" w:hanging="2550"/>
      </w:pPr>
      <w:r>
        <w:t>2008</w:t>
      </w:r>
      <w:r>
        <w:tab/>
      </w:r>
      <w:r>
        <w:tab/>
      </w:r>
      <w:r>
        <w:tab/>
        <w:t xml:space="preserve">Basic Course on Laboratory Animal Science, Eberhard </w:t>
      </w:r>
      <w:proofErr w:type="spellStart"/>
      <w:r>
        <w:t>Karls</w:t>
      </w:r>
      <w:proofErr w:type="spellEnd"/>
      <w:r>
        <w:t xml:space="preserve"> University of Tübingen, Germany (Qualification equivalent to FELASA B)</w:t>
      </w:r>
    </w:p>
    <w:p>
      <w:pPr>
        <w:pStyle w:val="1SFBCV"/>
        <w:spacing w:before="240"/>
        <w:ind w:left="499" w:hanging="357"/>
      </w:pPr>
      <w:bookmarkStart w:id="62" w:name="_Toc57889277"/>
      <w:bookmarkStart w:id="63" w:name="_Toc57968491"/>
      <w:bookmarkStart w:id="64" w:name="_Toc58489555"/>
      <w:bookmarkStart w:id="65" w:name="_Toc58490159"/>
      <w:bookmarkStart w:id="66" w:name="_Toc58498434"/>
      <w:bookmarkStart w:id="67" w:name="_Toc58570806"/>
      <w:bookmarkStart w:id="68" w:name="_Toc58928955"/>
      <w:bookmarkStart w:id="69" w:name="_Toc59080493"/>
      <w:bookmarkStart w:id="70" w:name="_Toc59168837"/>
      <w:bookmarkStart w:id="71" w:name="_Toc59396493"/>
      <w:bookmarkStart w:id="72" w:name="_Toc78540450"/>
      <w:bookmarkStart w:id="73" w:name="_Toc78541380"/>
      <w:bookmarkStart w:id="74" w:name="_Toc82510055"/>
      <w:bookmarkStart w:id="75" w:name="_Toc82515159"/>
      <w:bookmarkStart w:id="76" w:name="_Toc82602579"/>
      <w:r>
        <w:t>Publications</w:t>
      </w:r>
    </w:p>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Pr>
        <w:pStyle w:val="SFB-CVText"/>
        <w:ind w:left="0" w:firstLine="0"/>
        <w:rPr>
          <w:lang w:val="en-US"/>
        </w:rPr>
      </w:pPr>
      <w:r>
        <w:rPr>
          <w:lang w:val="en-US"/>
        </w:rPr>
        <w:t>a)</w:t>
      </w:r>
      <w:r>
        <w:rPr>
          <w:lang w:val="en-US"/>
        </w:rPr>
        <w:tab/>
        <w:t>Journal publications and book contributions</w:t>
      </w:r>
    </w:p>
    <w:p>
      <w:pPr>
        <w:pStyle w:val="EndNoteBibliography"/>
        <w:spacing w:after="0"/>
        <w:ind w:left="720" w:hanging="294"/>
      </w:pPr>
      <w:r>
        <w:t>1.</w:t>
      </w:r>
      <w:r>
        <w:tab/>
        <w:t xml:space="preserve">Homann L, Rentschler M, </w:t>
      </w:r>
      <w:r>
        <w:rPr>
          <w:b/>
        </w:rPr>
        <w:t>Brenner E</w:t>
      </w:r>
      <w:r>
        <w:t xml:space="preserve">, Böhm K, </w:t>
      </w:r>
      <w:r>
        <w:rPr>
          <w:u w:val="single"/>
        </w:rPr>
        <w:t>Röcken M</w:t>
      </w:r>
      <w:r>
        <w:t xml:space="preserve"> and Wieder T. IFN-γ and TNF Induce Senescence and a Distinct Senescence-Associated Secretory Phenotype in Melanoma. </w:t>
      </w:r>
      <w:r>
        <w:rPr>
          <w:i/>
        </w:rPr>
        <w:t xml:space="preserve">Cells </w:t>
      </w:r>
      <w:r>
        <w:t xml:space="preserve">2022, </w:t>
      </w:r>
      <w:r>
        <w:rPr>
          <w:i/>
        </w:rPr>
        <w:t>11</w:t>
      </w:r>
      <w:r>
        <w:t>, doi:10.3390/cells11091514.</w:t>
      </w:r>
    </w:p>
    <w:p>
      <w:pPr>
        <w:pStyle w:val="EndNoteBibliography"/>
        <w:spacing w:after="0"/>
        <w:ind w:left="720" w:hanging="294"/>
      </w:pPr>
      <w:r>
        <w:t>2.</w:t>
      </w:r>
      <w:r>
        <w:tab/>
      </w:r>
      <w:r>
        <w:rPr>
          <w:b/>
        </w:rPr>
        <w:t xml:space="preserve">Brenner E </w:t>
      </w:r>
      <w:r>
        <w:t xml:space="preserve">and </w:t>
      </w:r>
      <w:r>
        <w:rPr>
          <w:u w:val="single"/>
        </w:rPr>
        <w:t>Röcken M</w:t>
      </w:r>
      <w:r>
        <w:t xml:space="preserve">. A Commotion in the Skin: Developing Melanoma Immunotherapies. </w:t>
      </w:r>
      <w:r>
        <w:rPr>
          <w:i/>
        </w:rPr>
        <w:t xml:space="preserve">J. Invest. Dermatol. </w:t>
      </w:r>
      <w:r>
        <w:t>2022, 10.1016/j.jid.2022.01.025, doi:10.1016/j.jid.2022.01.025.</w:t>
      </w:r>
    </w:p>
    <w:p>
      <w:pPr>
        <w:pStyle w:val="EndNoteBibliography"/>
        <w:spacing w:after="0"/>
        <w:ind w:left="720" w:hanging="294"/>
      </w:pPr>
      <w:r>
        <w:t>3.</w:t>
      </w:r>
      <w:r>
        <w:tab/>
        <w:t xml:space="preserve">Ahmetlic F, Fauser J, Riedel T, Bauer V, Flessner C, Hömberg N, Hennel R, </w:t>
      </w:r>
      <w:r>
        <w:rPr>
          <w:b/>
        </w:rPr>
        <w:t>Brenner E</w:t>
      </w:r>
      <w:r>
        <w:t xml:space="preserve">, Lauber K, </w:t>
      </w:r>
      <w:r>
        <w:rPr>
          <w:u w:val="single"/>
        </w:rPr>
        <w:t>Röcken M</w:t>
      </w:r>
      <w:r>
        <w:t xml:space="preserve"> and Mocikat R. Therapy of lymphoma by immune checkpoint inhibitors: the role of T cells, NK cells and cytokine-induced tumor senescence. </w:t>
      </w:r>
      <w:r>
        <w:rPr>
          <w:i/>
        </w:rPr>
        <w:t xml:space="preserve">Journal for immunotherapy of cancer </w:t>
      </w:r>
      <w:r>
        <w:t xml:space="preserve">2021, </w:t>
      </w:r>
      <w:r>
        <w:rPr>
          <w:i/>
        </w:rPr>
        <w:t>9</w:t>
      </w:r>
      <w:r>
        <w:t>, doi:10.1136/jitc-2020-001660.</w:t>
      </w:r>
    </w:p>
    <w:p>
      <w:pPr>
        <w:pStyle w:val="EndNoteBibliography"/>
        <w:spacing w:after="0"/>
        <w:ind w:left="720" w:hanging="294"/>
        <w:rPr>
          <w:lang w:val="de-DE"/>
        </w:rPr>
      </w:pPr>
      <w:r>
        <w:t>4.</w:t>
      </w:r>
      <w:r>
        <w:tab/>
      </w:r>
      <w:r>
        <w:rPr>
          <w:b/>
        </w:rPr>
        <w:t>Brenner E</w:t>
      </w:r>
      <w:r>
        <w:t xml:space="preserve">, Schorg BF, Ahmetlic F, Wieder T, Hilke FJ, Simon N, Schroeder C, Demidov G, Riedel T, Fehrenbacher B, Schaller M, Forschner A, Eigentler T, Niessner H, Sinnberg T, Bohm KS, Homberg N, Braumuller H, Dauch D, Zwirner S, Zender L, Sonanini D, Geishauser A, Bauer J, Eichner M, Jarick KJ, Beilhack A, Biskup S, Docker D, Schadendorf D, Quintanilla-Martinez L, Pichler BJ, Kneilling M, Mocikat R and </w:t>
      </w:r>
      <w:r>
        <w:rPr>
          <w:u w:val="single"/>
        </w:rPr>
        <w:t>Rocken M</w:t>
      </w:r>
      <w:r>
        <w:t xml:space="preserve">. Cancer immune control needs senescence induction by interferon-dependent cell cycle regulator pathways in tumours. </w:t>
      </w:r>
      <w:r>
        <w:rPr>
          <w:i/>
          <w:lang w:val="de-DE"/>
        </w:rPr>
        <w:t xml:space="preserve">Nature communications </w:t>
      </w:r>
      <w:r>
        <w:rPr>
          <w:lang w:val="de-DE"/>
        </w:rPr>
        <w:t xml:space="preserve">2020, </w:t>
      </w:r>
      <w:r>
        <w:rPr>
          <w:i/>
          <w:lang w:val="de-DE"/>
        </w:rPr>
        <w:t>11</w:t>
      </w:r>
      <w:r>
        <w:rPr>
          <w:lang w:val="de-DE"/>
        </w:rPr>
        <w:t>, 1335, doi:10.1038/s41467-020-14987-6.</w:t>
      </w:r>
    </w:p>
    <w:p>
      <w:pPr>
        <w:pStyle w:val="EndNoteBibliography"/>
        <w:spacing w:after="0"/>
        <w:ind w:left="720" w:hanging="294"/>
        <w:rPr>
          <w:lang w:val="de-DE"/>
        </w:rPr>
      </w:pPr>
      <w:r>
        <w:rPr>
          <w:lang w:val="de-DE"/>
        </w:rPr>
        <w:t>5.</w:t>
      </w:r>
      <w:r>
        <w:rPr>
          <w:lang w:val="de-DE"/>
        </w:rPr>
        <w:tab/>
        <w:t xml:space="preserve">Wieder T, Eigentler T, </w:t>
      </w:r>
      <w:r>
        <w:rPr>
          <w:b/>
          <w:lang w:val="de-DE"/>
        </w:rPr>
        <w:t>Brenner E</w:t>
      </w:r>
      <w:r>
        <w:rPr>
          <w:lang w:val="de-DE"/>
        </w:rPr>
        <w:t xml:space="preserve"> and </w:t>
      </w:r>
      <w:r>
        <w:rPr>
          <w:u w:val="single"/>
          <w:lang w:val="de-DE"/>
        </w:rPr>
        <w:t>Rocken M</w:t>
      </w:r>
      <w:r>
        <w:rPr>
          <w:lang w:val="de-DE"/>
        </w:rPr>
        <w:t xml:space="preserve">. Immune checkpoint blockade therapy. </w:t>
      </w:r>
      <w:r>
        <w:rPr>
          <w:i/>
          <w:lang w:val="de-DE"/>
        </w:rPr>
        <w:t xml:space="preserve">J. Allergy Clin. Immunol. </w:t>
      </w:r>
      <w:r>
        <w:rPr>
          <w:lang w:val="de-DE"/>
        </w:rPr>
        <w:t xml:space="preserve">2018, </w:t>
      </w:r>
      <w:r>
        <w:rPr>
          <w:i/>
          <w:lang w:val="de-DE"/>
        </w:rPr>
        <w:t>142</w:t>
      </w:r>
      <w:r>
        <w:rPr>
          <w:lang w:val="de-DE"/>
        </w:rPr>
        <w:t>, 1403-1414, doi:10.1016/j.jaci.2018.02.042.</w:t>
      </w:r>
    </w:p>
    <w:p>
      <w:pPr>
        <w:pStyle w:val="EndNoteBibliography"/>
        <w:spacing w:after="0"/>
        <w:ind w:left="720" w:hanging="294"/>
      </w:pPr>
      <w:r>
        <w:rPr>
          <w:lang w:val="de-DE"/>
        </w:rPr>
        <w:t>6.</w:t>
      </w:r>
      <w:r>
        <w:rPr>
          <w:lang w:val="de-DE"/>
        </w:rPr>
        <w:tab/>
        <w:t xml:space="preserve">Rentschler M, Chen Y, Pahl J, Soria-Martinez L, Braumuller H, </w:t>
      </w:r>
      <w:r>
        <w:rPr>
          <w:b/>
          <w:lang w:val="de-DE"/>
        </w:rPr>
        <w:t>Brenner E</w:t>
      </w:r>
      <w:r>
        <w:rPr>
          <w:lang w:val="de-DE"/>
        </w:rPr>
        <w:t xml:space="preserve">, Bischof O, </w:t>
      </w:r>
      <w:r>
        <w:rPr>
          <w:u w:val="single"/>
          <w:lang w:val="de-DE"/>
        </w:rPr>
        <w:t>Rocken M</w:t>
      </w:r>
      <w:r>
        <w:rPr>
          <w:lang w:val="de-DE"/>
        </w:rPr>
        <w:t xml:space="preserve"> and Wieder T. Nuclear translocation of argonaute 2 in cytokine-induced senescence. </w:t>
      </w:r>
      <w:r>
        <w:rPr>
          <w:i/>
        </w:rPr>
        <w:t xml:space="preserve">Cell. Physiol. Biochem. </w:t>
      </w:r>
      <w:r>
        <w:t xml:space="preserve">2018, </w:t>
      </w:r>
      <w:r>
        <w:rPr>
          <w:i/>
        </w:rPr>
        <w:t>51</w:t>
      </w:r>
      <w:r>
        <w:t>, 1103-1118, doi:10.1159/000495490.</w:t>
      </w:r>
    </w:p>
    <w:p>
      <w:pPr>
        <w:pStyle w:val="EndNoteBibliography"/>
        <w:spacing w:after="0"/>
        <w:ind w:left="720" w:hanging="294"/>
      </w:pPr>
      <w:r>
        <w:t>7.</w:t>
      </w:r>
      <w:r>
        <w:tab/>
        <w:t xml:space="preserve">Wieder T, </w:t>
      </w:r>
      <w:r>
        <w:rPr>
          <w:b/>
        </w:rPr>
        <w:t>Brenner E</w:t>
      </w:r>
      <w:r>
        <w:t xml:space="preserve">, Braumuller H, Bischof O and </w:t>
      </w:r>
      <w:r>
        <w:rPr>
          <w:u w:val="single"/>
        </w:rPr>
        <w:t>Rocken M</w:t>
      </w:r>
      <w:r>
        <w:t xml:space="preserve">. Cytokine-induced senescence for cancer surveillance. </w:t>
      </w:r>
      <w:r>
        <w:rPr>
          <w:i/>
        </w:rPr>
        <w:t xml:space="preserve">Cancer Metastasis Rev. </w:t>
      </w:r>
      <w:r>
        <w:t xml:space="preserve">2017, </w:t>
      </w:r>
      <w:r>
        <w:rPr>
          <w:i/>
        </w:rPr>
        <w:t>36</w:t>
      </w:r>
      <w:r>
        <w:t>, 357-365, doi:10.1007/s10555-017-9667-z.</w:t>
      </w:r>
    </w:p>
    <w:p>
      <w:pPr>
        <w:pStyle w:val="EndNoteBibliography"/>
        <w:spacing w:after="0"/>
        <w:ind w:left="720" w:hanging="294"/>
      </w:pPr>
      <w:r>
        <w:t>8.</w:t>
      </w:r>
      <w:r>
        <w:tab/>
        <w:t xml:space="preserve">Wieder T, </w:t>
      </w:r>
      <w:r>
        <w:rPr>
          <w:b/>
        </w:rPr>
        <w:t>Brenner E</w:t>
      </w:r>
      <w:r>
        <w:t xml:space="preserve">, Braumuller H and </w:t>
      </w:r>
      <w:r>
        <w:rPr>
          <w:u w:val="single"/>
        </w:rPr>
        <w:t>Rocken M</w:t>
      </w:r>
      <w:r>
        <w:t xml:space="preserve">. Immunotherapy of melanoma: efficacy and mode of action. </w:t>
      </w:r>
      <w:r>
        <w:rPr>
          <w:i/>
        </w:rPr>
        <w:t xml:space="preserve">J Dtsch Dermatol Ges </w:t>
      </w:r>
      <w:r>
        <w:t xml:space="preserve">2016, </w:t>
      </w:r>
      <w:r>
        <w:rPr>
          <w:i/>
        </w:rPr>
        <w:t>14</w:t>
      </w:r>
      <w:r>
        <w:t>, 28-36, doi:10.1111/ddg.12819.</w:t>
      </w:r>
    </w:p>
    <w:p>
      <w:pPr>
        <w:pStyle w:val="EndNoteBibliography"/>
        <w:spacing w:after="0"/>
        <w:ind w:left="720" w:hanging="294"/>
      </w:pPr>
      <w:r>
        <w:t>9.</w:t>
      </w:r>
      <w:r>
        <w:tab/>
        <w:t xml:space="preserve">Wieder T, Braumuller H, </w:t>
      </w:r>
      <w:r>
        <w:rPr>
          <w:b/>
        </w:rPr>
        <w:t>Brenner E</w:t>
      </w:r>
      <w:r>
        <w:t xml:space="preserve">, Zender L and </w:t>
      </w:r>
      <w:r>
        <w:rPr>
          <w:u w:val="single"/>
        </w:rPr>
        <w:t>Rocken M</w:t>
      </w:r>
      <w:r>
        <w:t xml:space="preserve">. Changing T-cell enigma: cancer killing or cancer control? </w:t>
      </w:r>
      <w:r>
        <w:rPr>
          <w:i/>
        </w:rPr>
        <w:t xml:space="preserve">Cell Cycle </w:t>
      </w:r>
      <w:r>
        <w:t xml:space="preserve">2013, </w:t>
      </w:r>
      <w:r>
        <w:rPr>
          <w:i/>
        </w:rPr>
        <w:t>12</w:t>
      </w:r>
      <w:r>
        <w:t>, 3146-3153, doi:10.4161/cc.26060.</w:t>
      </w:r>
    </w:p>
    <w:p>
      <w:pPr>
        <w:pStyle w:val="EndNoteBibliography"/>
        <w:spacing w:after="0"/>
        <w:ind w:left="720" w:hanging="294"/>
      </w:pPr>
      <w:r>
        <w:t>10.</w:t>
      </w:r>
      <w:r>
        <w:tab/>
        <w:t xml:space="preserve">Braumuller H, Wieder T, </w:t>
      </w:r>
      <w:r>
        <w:rPr>
          <w:b/>
        </w:rPr>
        <w:t>Brenner E</w:t>
      </w:r>
      <w:r>
        <w:t xml:space="preserve">, Assmann S, Hahn M, Alkhaled M, Schilbach K, Essmann F, Kneilling M, Griessinger C, Ranta F, Ullrich S, Mocikat R, Braungart K, Mehra T, Fehrenbacher B, Berdel J, Niessner H, Meier F, van den Broek M, Haring HU, Handgretinger R, Quintanilla-Martinez L, Fend F, Pesic M, Bauer J, Zender L, Schaller M, Schulze-Osthoff K and </w:t>
      </w:r>
      <w:r>
        <w:rPr>
          <w:u w:val="single"/>
        </w:rPr>
        <w:t>Rocken M</w:t>
      </w:r>
      <w:r>
        <w:t xml:space="preserve">. T-helper-1-cell cytokines drive cancer into senescence. </w:t>
      </w:r>
      <w:r>
        <w:rPr>
          <w:i/>
        </w:rPr>
        <w:t xml:space="preserve">Nature </w:t>
      </w:r>
      <w:r>
        <w:t xml:space="preserve">2013, </w:t>
      </w:r>
      <w:r>
        <w:rPr>
          <w:i/>
        </w:rPr>
        <w:t>494</w:t>
      </w:r>
      <w:r>
        <w:t>, 361-365, doi:10.1038/nature11824.</w:t>
      </w:r>
    </w:p>
    <w:p>
      <w:pPr>
        <w:pStyle w:val="SFB-CVText"/>
        <w:ind w:left="0" w:firstLine="0"/>
      </w:pPr>
    </w:p>
    <w:p>
      <w:pPr>
        <w:pStyle w:val="SFB-CVText"/>
      </w:pPr>
      <w:r>
        <w:t>b)</w:t>
      </w:r>
      <w:r>
        <w:tab/>
        <w:t>Other publications: none</w:t>
      </w:r>
    </w:p>
    <w:p>
      <w:pPr>
        <w:pStyle w:val="SFB-CVText"/>
      </w:pPr>
      <w:r>
        <w:t>c)</w:t>
      </w:r>
      <w:r>
        <w:tab/>
        <w:t>Patents:</w:t>
      </w:r>
    </w:p>
    <w:p>
      <w:pPr>
        <w:pStyle w:val="TextSFBSkizze"/>
        <w:jc w:val="left"/>
        <w:rPr>
          <w:lang w:val="en-US"/>
        </w:rPr>
      </w:pPr>
      <w:r>
        <w:rPr>
          <w:lang w:val="en-US"/>
        </w:rPr>
        <w:t xml:space="preserve">JPWO 2022-509000 </w:t>
      </w:r>
      <w:r>
        <w:rPr>
          <w:lang w:val="en-US"/>
        </w:rPr>
        <w:br/>
      </w:r>
      <w:r>
        <w:rPr>
          <w:lang w:val="en-US"/>
        </w:rPr>
        <w:tab/>
        <w:t xml:space="preserve">Method for classifying a patient's responsiveness to immune checkpoint inhibitor therapy </w:t>
      </w:r>
    </w:p>
    <w:p>
      <w:pPr>
        <w:pStyle w:val="TextSFBSkizze"/>
        <w:jc w:val="left"/>
        <w:rPr>
          <w:lang w:val="en-US"/>
        </w:rPr>
      </w:pPr>
      <w:r>
        <w:rPr>
          <w:lang w:val="en-US"/>
        </w:rPr>
        <w:t>US 10,046,029 B2</w:t>
      </w:r>
      <w:r>
        <w:rPr>
          <w:lang w:val="en-US"/>
        </w:rPr>
        <w:br/>
      </w:r>
      <w:r>
        <w:rPr>
          <w:lang w:val="en-US"/>
        </w:rPr>
        <w:tab/>
        <w:t xml:space="preserve">Method of inducing senescence in </w:t>
      </w:r>
      <w:proofErr w:type="spellStart"/>
      <w:r>
        <w:rPr>
          <w:lang w:val="en-US"/>
        </w:rPr>
        <w:t>tumour</w:t>
      </w:r>
      <w:proofErr w:type="spellEnd"/>
      <w:r>
        <w:rPr>
          <w:lang w:val="en-US"/>
        </w:rPr>
        <w:t xml:space="preserve"> cells by administrating TNF-A in combination with IFN-A of IFN-Y</w:t>
      </w:r>
    </w:p>
    <w:p>
      <w:pPr>
        <w:pStyle w:val="TextSFBSkizze"/>
        <w:jc w:val="left"/>
        <w:rPr>
          <w:lang w:val="en-US"/>
        </w:rPr>
      </w:pPr>
      <w:r>
        <w:rPr>
          <w:lang w:val="en-US"/>
        </w:rPr>
        <w:t>EU 13 826 993.1</w:t>
      </w:r>
      <w:r>
        <w:rPr>
          <w:lang w:val="en-US"/>
        </w:rPr>
        <w:br/>
      </w:r>
      <w:r>
        <w:rPr>
          <w:lang w:val="en-US"/>
        </w:rPr>
        <w:tab/>
        <w:t xml:space="preserve">Use of active substance combinations for </w:t>
      </w:r>
      <w:proofErr w:type="spellStart"/>
      <w:r>
        <w:rPr>
          <w:lang w:val="en-US"/>
        </w:rPr>
        <w:t>tumour</w:t>
      </w:r>
      <w:proofErr w:type="spellEnd"/>
      <w:r>
        <w:rPr>
          <w:lang w:val="en-US"/>
        </w:rPr>
        <w:t xml:space="preserve"> senescence</w:t>
      </w:r>
    </w:p>
    <w:p>
      <w:pPr>
        <w:pStyle w:val="TextSFBSkizze"/>
        <w:jc w:val="left"/>
        <w:rPr>
          <w:lang w:val="de-DE"/>
        </w:rPr>
      </w:pPr>
      <w:r>
        <w:rPr>
          <w:lang w:val="de-DE"/>
        </w:rPr>
        <w:t>PCT/DE 2013/000794</w:t>
      </w:r>
      <w:r>
        <w:rPr>
          <w:lang w:val="de-DE"/>
        </w:rPr>
        <w:tab/>
        <w:t>Verwendung von Wirkstoffkombinationen zur Induktion einer Tumorseneszenz</w:t>
      </w:r>
    </w:p>
    <w:sectPr>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F11EF"/>
    <w:multiLevelType w:val="hybridMultilevel"/>
    <w:tmpl w:val="5FF473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7412DB"/>
    <w:multiLevelType w:val="hybridMultilevel"/>
    <w:tmpl w:val="0F78B8E4"/>
    <w:lvl w:ilvl="0" w:tplc="9282223E">
      <w:start w:val="200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217AF9"/>
    <w:multiLevelType w:val="multilevel"/>
    <w:tmpl w:val="8E7EF32C"/>
    <w:styleLink w:val="DKH"/>
    <w:lvl w:ilvl="0">
      <w:start w:val="1"/>
      <w:numFmt w:val="decimal"/>
      <w:lvlText w:val="%1."/>
      <w:lvlJc w:val="left"/>
      <w:pPr>
        <w:ind w:left="360" w:hanging="360"/>
      </w:pPr>
      <w:rPr>
        <w:rFonts w:ascii="Verdana" w:hAnsi="Verdana" w:hint="default"/>
        <w:b/>
        <w:i w:val="0"/>
        <w:sz w:val="22"/>
      </w:rPr>
    </w:lvl>
    <w:lvl w:ilvl="1">
      <w:start w:val="1"/>
      <w:numFmt w:val="decimal"/>
      <w:lvlText w:val="%1.%2."/>
      <w:lvlJc w:val="left"/>
      <w:pPr>
        <w:ind w:left="1191" w:hanging="834"/>
      </w:pPr>
      <w:rPr>
        <w:rFonts w:ascii="Verdana" w:hAnsi="Verdana" w:hint="default"/>
        <w:b/>
        <w:i w:val="0"/>
        <w:sz w:val="22"/>
      </w:rPr>
    </w:lvl>
    <w:lvl w:ilvl="2">
      <w:start w:val="1"/>
      <w:numFmt w:val="decimal"/>
      <w:lvlText w:val="%1.%2.%3."/>
      <w:lvlJc w:val="left"/>
      <w:pPr>
        <w:ind w:left="1758" w:hanging="1191"/>
      </w:pPr>
      <w:rPr>
        <w:rFonts w:ascii="Verdana" w:hAnsi="Verdana" w:hint="default"/>
        <w:b/>
        <w:i w:val="0"/>
        <w:sz w:val="22"/>
      </w:rPr>
    </w:lvl>
    <w:lvl w:ilvl="3">
      <w:start w:val="1"/>
      <w:numFmt w:val="decimal"/>
      <w:lvlText w:val="%1.%2.%3.%4."/>
      <w:lvlJc w:val="left"/>
      <w:pPr>
        <w:ind w:left="2211" w:hanging="1644"/>
      </w:pPr>
      <w:rPr>
        <w:rFonts w:ascii="Verdana" w:hAnsi="Verdana"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7653A6"/>
    <w:multiLevelType w:val="hybridMultilevel"/>
    <w:tmpl w:val="82B859CC"/>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 w15:restartNumberingAfterBreak="0">
    <w:nsid w:val="5A890243"/>
    <w:multiLevelType w:val="multilevel"/>
    <w:tmpl w:val="2E888CA2"/>
    <w:styleLink w:val="Formatvorlage1"/>
    <w:lvl w:ilvl="0">
      <w:start w:val="1"/>
      <w:numFmt w:val="decimal"/>
      <w:isLgl/>
      <w:lvlText w:val="%1"/>
      <w:lvlJc w:val="left"/>
      <w:pPr>
        <w:tabs>
          <w:tab w:val="num" w:pos="709"/>
        </w:tabs>
        <w:ind w:left="709" w:hanging="709"/>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i w:val="0"/>
        <w:color w:val="auto"/>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5" w15:restartNumberingAfterBreak="0">
    <w:nsid w:val="5B242AEA"/>
    <w:multiLevelType w:val="hybridMultilevel"/>
    <w:tmpl w:val="3F6EE2D0"/>
    <w:lvl w:ilvl="0" w:tplc="DE786112">
      <w:start w:val="1"/>
      <w:numFmt w:val="decimal"/>
      <w:pStyle w:val="1SFBCV"/>
      <w:lvlText w:val="%1)"/>
      <w:lvlJc w:val="left"/>
      <w:pPr>
        <w:ind w:left="502"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160CDA0">
      <w:start w:val="1"/>
      <w:numFmt w:val="decimal"/>
      <w:lvlText w:val="%2."/>
      <w:lvlJc w:val="left"/>
      <w:pPr>
        <w:ind w:left="1480" w:hanging="400"/>
      </w:pPr>
      <w:rPr>
        <w:rFonts w:hint="default"/>
      </w:rPr>
    </w:lvl>
    <w:lvl w:ilvl="2" w:tplc="0407001B">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67B66DA9"/>
    <w:multiLevelType w:val="hybridMultilevel"/>
    <w:tmpl w:val="215E6E78"/>
    <w:lvl w:ilvl="0" w:tplc="9282223E">
      <w:start w:val="200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FE3CC8"/>
    <w:multiLevelType w:val="multilevel"/>
    <w:tmpl w:val="88301CD2"/>
    <w:lvl w:ilvl="0">
      <w:start w:val="1"/>
      <w:numFmt w:val="decimal"/>
      <w:pStyle w:val="Musterberschrift1"/>
      <w:lvlText w:val="%1"/>
      <w:lvlJc w:val="left"/>
      <w:pPr>
        <w:tabs>
          <w:tab w:val="num" w:pos="855"/>
        </w:tabs>
        <w:ind w:left="855" w:hanging="855"/>
      </w:pPr>
      <w:rPr>
        <w:rFonts w:cs="Times New Roman" w:hint="default"/>
      </w:rPr>
    </w:lvl>
    <w:lvl w:ilvl="1">
      <w:start w:val="1"/>
      <w:numFmt w:val="decimal"/>
      <w:pStyle w:val="Musterberschrift2"/>
      <w:lvlText w:val="%1.%2"/>
      <w:lvlJc w:val="left"/>
      <w:pPr>
        <w:tabs>
          <w:tab w:val="num" w:pos="855"/>
        </w:tabs>
        <w:ind w:left="855" w:hanging="855"/>
      </w:pPr>
      <w:rPr>
        <w:rFonts w:cs="Times New Roman" w:hint="default"/>
      </w:rPr>
    </w:lvl>
    <w:lvl w:ilvl="2">
      <w:start w:val="1"/>
      <w:numFmt w:val="decimal"/>
      <w:pStyle w:val="Musterberschrift3"/>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855"/>
        </w:tabs>
        <w:ind w:left="855" w:hanging="85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73E9701D"/>
    <w:multiLevelType w:val="hybridMultilevel"/>
    <w:tmpl w:val="5EC66BE8"/>
    <w:lvl w:ilvl="0" w:tplc="65749284">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5"/>
  </w:num>
  <w:num w:numId="5">
    <w:abstractNumId w:val="0"/>
  </w:num>
  <w:num w:numId="6">
    <w:abstractNumId w:val="5"/>
    <w:lvlOverride w:ilvl="0">
      <w:startOverride w:val="1"/>
    </w:lvlOverride>
  </w:num>
  <w:num w:numId="7">
    <w:abstractNumId w:val="6"/>
  </w:num>
  <w:num w:numId="8">
    <w:abstractNumId w:val="8"/>
  </w:num>
  <w:num w:numId="9">
    <w:abstractNumId w:val="1"/>
  </w:num>
  <w:num w:numId="10">
    <w:abstractNumId w:val="3"/>
  </w:num>
  <w:num w:numId="11">
    <w:abstractNumId w:val="5"/>
  </w:num>
  <w:num w:numId="12">
    <w:abstractNumId w:val="5"/>
  </w:num>
  <w:num w:numId="13">
    <w:abstractNumId w:val="5"/>
  </w:num>
  <w:num w:numId="14">
    <w:abstractNumId w:val="5"/>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F0CFA-B5F5-41F9-BBC1-D0ECA101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spacing w:after="120" w:line="288" w:lineRule="auto"/>
      <w:jc w:val="both"/>
    </w:pPr>
    <w:rPr>
      <w:rFonts w:ascii="Arial" w:eastAsia="Times New Roman" w:hAnsi="Arial" w:cs="Times New Roman"/>
      <w:szCs w:val="20"/>
      <w:lang w:eastAsia="de-DE"/>
    </w:rPr>
  </w:style>
  <w:style w:type="paragraph" w:styleId="berschrift5">
    <w:name w:val="heading 5"/>
    <w:basedOn w:val="Standard"/>
    <w:next w:val="Standard"/>
    <w:link w:val="berschrift5Zchn"/>
    <w:uiPriority w:val="9"/>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1">
    <w:name w:val="Formatvorlage1"/>
    <w:uiPriority w:val="99"/>
    <w:pPr>
      <w:numPr>
        <w:numId w:val="1"/>
      </w:numPr>
    </w:p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365F91" w:themeColor="accent1" w:themeShade="BF"/>
      <w:szCs w:val="20"/>
      <w:lang w:eastAsia="de-DE"/>
    </w:rPr>
  </w:style>
  <w:style w:type="numbering" w:customStyle="1" w:styleId="DKH">
    <w:name w:val="DKH Ü"/>
    <w:basedOn w:val="KeineListe"/>
    <w:uiPriority w:val="99"/>
    <w:pPr>
      <w:numPr>
        <w:numId w:val="2"/>
      </w:numPr>
    </w:pPr>
  </w:style>
  <w:style w:type="paragraph" w:customStyle="1" w:styleId="Musterberschrift1">
    <w:name w:val="Muster Überschrift 1"/>
    <w:basedOn w:val="Standard"/>
    <w:qFormat/>
    <w:pPr>
      <w:keepNext/>
      <w:pageBreakBefore/>
      <w:numPr>
        <w:numId w:val="3"/>
      </w:numPr>
      <w:spacing w:after="240" w:line="240" w:lineRule="auto"/>
      <w:textAlignment w:val="baseline"/>
      <w:outlineLvl w:val="0"/>
    </w:pPr>
    <w:rPr>
      <w:rFonts w:eastAsiaTheme="minorEastAsia"/>
      <w:b/>
      <w:sz w:val="24"/>
    </w:rPr>
  </w:style>
  <w:style w:type="paragraph" w:customStyle="1" w:styleId="Musterberschrift2">
    <w:name w:val="Muster Überschrift 2"/>
    <w:basedOn w:val="Musterberschrift1"/>
    <w:qFormat/>
    <w:pPr>
      <w:keepNext w:val="0"/>
      <w:pageBreakBefore w:val="0"/>
      <w:numPr>
        <w:ilvl w:val="1"/>
      </w:numPr>
      <w:spacing w:before="120"/>
      <w:outlineLvl w:val="1"/>
    </w:pPr>
  </w:style>
  <w:style w:type="paragraph" w:customStyle="1" w:styleId="Musterberschrift3">
    <w:name w:val="Muster Überschrift 3"/>
    <w:basedOn w:val="Musterberschrift2"/>
    <w:qFormat/>
    <w:pPr>
      <w:numPr>
        <w:ilvl w:val="2"/>
      </w:numPr>
      <w:outlineLvl w:val="2"/>
    </w:pPr>
    <w:rPr>
      <w:sz w:val="22"/>
    </w:rPr>
  </w:style>
  <w:style w:type="paragraph" w:customStyle="1" w:styleId="TextSFBSkizze">
    <w:name w:val="Text SFB Skizze"/>
    <w:basedOn w:val="Standard"/>
    <w:link w:val="TextSFBSkizzeZchn"/>
    <w:qFormat/>
    <w:pPr>
      <w:tabs>
        <w:tab w:val="left" w:pos="357"/>
        <w:tab w:val="left" w:pos="8505"/>
      </w:tabs>
      <w:spacing w:after="60"/>
    </w:pPr>
    <w:rPr>
      <w:sz w:val="20"/>
      <w:lang w:val="en-GB"/>
    </w:rPr>
  </w:style>
  <w:style w:type="character" w:customStyle="1" w:styleId="TextSFBSkizzeZchn">
    <w:name w:val="Text SFB Skizze Zchn"/>
    <w:basedOn w:val="Absatz-Standardschriftart"/>
    <w:link w:val="TextSFBSkizze"/>
    <w:rPr>
      <w:rFonts w:ascii="Arial" w:eastAsia="Times New Roman" w:hAnsi="Arial" w:cs="Times New Roman"/>
      <w:sz w:val="20"/>
      <w:szCs w:val="20"/>
      <w:lang w:val="en-GB" w:eastAsia="de-DE"/>
    </w:rPr>
  </w:style>
  <w:style w:type="paragraph" w:customStyle="1" w:styleId="RefSkizzeSFB">
    <w:name w:val="Ref Skizze SFB"/>
    <w:basedOn w:val="TextSFBSkizze"/>
    <w:link w:val="RefSkizzeSFBZchn"/>
    <w:qFormat/>
    <w:pPr>
      <w:tabs>
        <w:tab w:val="clear" w:pos="357"/>
        <w:tab w:val="clear" w:pos="8505"/>
        <w:tab w:val="left" w:pos="397"/>
      </w:tabs>
      <w:spacing w:after="0" w:line="240" w:lineRule="auto"/>
    </w:pPr>
    <w:rPr>
      <w:sz w:val="18"/>
    </w:rPr>
  </w:style>
  <w:style w:type="character" w:customStyle="1" w:styleId="RefSkizzeSFBZchn">
    <w:name w:val="Ref Skizze SFB Zchn"/>
    <w:basedOn w:val="Absatz-Standardschriftart"/>
    <w:link w:val="RefSkizzeSFB"/>
    <w:rPr>
      <w:rFonts w:ascii="Arial" w:eastAsia="Times New Roman" w:hAnsi="Arial" w:cs="Times New Roman"/>
      <w:sz w:val="18"/>
      <w:szCs w:val="20"/>
      <w:lang w:val="en-GB" w:eastAsia="de-DE"/>
    </w:rPr>
  </w:style>
  <w:style w:type="paragraph" w:customStyle="1" w:styleId="SFB-CVText">
    <w:name w:val="SFB-CV Text"/>
    <w:basedOn w:val="TextSFBSkizze"/>
    <w:link w:val="SFB-CVTextZchn"/>
    <w:qFormat/>
    <w:pPr>
      <w:tabs>
        <w:tab w:val="clear" w:pos="357"/>
        <w:tab w:val="clear" w:pos="8505"/>
        <w:tab w:val="left" w:pos="425"/>
        <w:tab w:val="left" w:pos="851"/>
        <w:tab w:val="left" w:pos="1814"/>
        <w:tab w:val="left" w:pos="2552"/>
        <w:tab w:val="left" w:pos="2835"/>
      </w:tabs>
      <w:ind w:left="1814" w:hanging="1814"/>
      <w:jc w:val="left"/>
    </w:pPr>
  </w:style>
  <w:style w:type="character" w:customStyle="1" w:styleId="SFB-CVTextZchn">
    <w:name w:val="SFB-CV Text Zchn"/>
    <w:link w:val="SFB-CVText"/>
    <w:rPr>
      <w:rFonts w:ascii="Arial" w:eastAsia="Times New Roman" w:hAnsi="Arial" w:cs="Times New Roman"/>
      <w:sz w:val="20"/>
      <w:szCs w:val="20"/>
      <w:lang w:val="en-GB" w:eastAsia="de-DE"/>
    </w:rPr>
  </w:style>
  <w:style w:type="paragraph" w:customStyle="1" w:styleId="SFBCVohneNummerierung">
    <w:name w:val="Ü  SFB CV ohne Nummerierung"/>
    <w:basedOn w:val="berschrift5"/>
    <w:link w:val="SFBCVohneNummerierungZchn"/>
    <w:qFormat/>
    <w:pPr>
      <w:spacing w:before="240" w:after="240"/>
      <w:outlineLvl w:val="0"/>
    </w:pPr>
    <w:rPr>
      <w:rFonts w:ascii="Arial" w:eastAsia="Times New Roman" w:hAnsi="Arial" w:cs="Times New Roman"/>
      <w:b/>
      <w:bCs/>
      <w:color w:val="auto"/>
      <w:szCs w:val="26"/>
      <w:lang w:val="en-GB"/>
    </w:rPr>
  </w:style>
  <w:style w:type="character" w:customStyle="1" w:styleId="SFBCVohneNummerierungZchn">
    <w:name w:val="Ü  SFB CV ohne Nummerierung Zchn"/>
    <w:link w:val="SFBCVohneNummerierung"/>
    <w:rPr>
      <w:rFonts w:ascii="Arial" w:eastAsia="Times New Roman" w:hAnsi="Arial" w:cs="Times New Roman"/>
      <w:b/>
      <w:bCs/>
      <w:szCs w:val="26"/>
      <w:lang w:val="en-GB" w:eastAsia="de-DE"/>
    </w:rPr>
  </w:style>
  <w:style w:type="paragraph" w:customStyle="1" w:styleId="1SFBCV">
    <w:name w:val="Ü1) SFB CV"/>
    <w:basedOn w:val="Standard"/>
    <w:qFormat/>
    <w:pPr>
      <w:keepNext/>
      <w:keepLines/>
      <w:numPr>
        <w:numId w:val="4"/>
      </w:numPr>
      <w:overflowPunct/>
      <w:autoSpaceDE/>
      <w:autoSpaceDN/>
      <w:adjustRightInd/>
      <w:spacing w:before="120" w:after="60"/>
      <w:jc w:val="left"/>
      <w:outlineLvl w:val="1"/>
    </w:pPr>
    <w:rPr>
      <w:b/>
      <w:i/>
      <w:szCs w:val="32"/>
      <w:lang w:val="en-GB" w:eastAsia="en-US"/>
    </w:rPr>
  </w:style>
  <w:style w:type="paragraph" w:customStyle="1" w:styleId="EndNoteBibliographyTitle">
    <w:name w:val="EndNote Bibliography Title"/>
    <w:basedOn w:val="Standard"/>
    <w:link w:val="EndNoteBibliographyTitleChar"/>
    <w:pPr>
      <w:spacing w:after="0"/>
      <w:jc w:val="center"/>
    </w:pPr>
    <w:rPr>
      <w:rFonts w:cs="Arial"/>
      <w:noProof/>
      <w:sz w:val="18"/>
      <w:lang w:val="en-GB"/>
    </w:rPr>
  </w:style>
  <w:style w:type="character" w:customStyle="1" w:styleId="EndNoteBibliographyTitleChar">
    <w:name w:val="EndNote Bibliography Title Char"/>
    <w:basedOn w:val="RefSkizzeSFBZchn"/>
    <w:link w:val="EndNoteBibliographyTitle"/>
    <w:rPr>
      <w:rFonts w:ascii="Arial" w:eastAsia="Times New Roman" w:hAnsi="Arial" w:cs="Arial"/>
      <w:noProof/>
      <w:sz w:val="18"/>
      <w:szCs w:val="20"/>
      <w:lang w:val="en-GB" w:eastAsia="de-DE"/>
    </w:rPr>
  </w:style>
  <w:style w:type="paragraph" w:customStyle="1" w:styleId="EndNoteBibliography">
    <w:name w:val="EndNote Bibliography"/>
    <w:basedOn w:val="Standard"/>
    <w:link w:val="EndNoteBibliographyChar"/>
    <w:pPr>
      <w:spacing w:line="240" w:lineRule="auto"/>
    </w:pPr>
    <w:rPr>
      <w:rFonts w:cs="Arial"/>
      <w:noProof/>
      <w:sz w:val="18"/>
      <w:lang w:val="en-GB"/>
    </w:rPr>
  </w:style>
  <w:style w:type="character" w:customStyle="1" w:styleId="EndNoteBibliographyChar">
    <w:name w:val="EndNote Bibliography Char"/>
    <w:basedOn w:val="RefSkizzeSFBZchn"/>
    <w:link w:val="EndNoteBibliography"/>
    <w:rPr>
      <w:rFonts w:ascii="Arial" w:eastAsia="Times New Roman" w:hAnsi="Arial" w:cs="Arial"/>
      <w:noProof/>
      <w:sz w:val="18"/>
      <w:szCs w:val="20"/>
      <w:lang w:val="en-GB"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328837">
      <w:bodyDiv w:val="1"/>
      <w:marLeft w:val="0"/>
      <w:marRight w:val="0"/>
      <w:marTop w:val="0"/>
      <w:marBottom w:val="0"/>
      <w:divBdr>
        <w:top w:val="none" w:sz="0" w:space="0" w:color="auto"/>
        <w:left w:val="none" w:sz="0" w:space="0" w:color="auto"/>
        <w:bottom w:val="none" w:sz="0" w:space="0" w:color="auto"/>
        <w:right w:val="none" w:sz="0" w:space="0" w:color="auto"/>
      </w:divBdr>
    </w:div>
    <w:div w:id="120108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85513-1ECA-4876-BC12-CB96FC55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4798</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Universitaetsklinikum Tuebingen</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Brenner</dc:creator>
  <cp:keywords/>
  <dc:description/>
  <cp:lastModifiedBy>Dr. Ellen Brenner</cp:lastModifiedBy>
  <cp:revision>2</cp:revision>
  <cp:lastPrinted>2024-01-05T14:55:00Z</cp:lastPrinted>
  <dcterms:created xsi:type="dcterms:W3CDTF">2024-01-05T14:57:00Z</dcterms:created>
  <dcterms:modified xsi:type="dcterms:W3CDTF">2024-01-05T14:57:00Z</dcterms:modified>
</cp:coreProperties>
</file>